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A7" w:rsidRPr="008D29A7" w:rsidRDefault="008D29A7" w:rsidP="008D29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2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</w:t>
      </w:r>
    </w:p>
    <w:p w:rsidR="008D29A7" w:rsidRPr="008D29A7" w:rsidRDefault="008D29A7" w:rsidP="008D29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29A7" w:rsidRPr="008D29A7" w:rsidRDefault="008D29A7" w:rsidP="008D29A7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2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</w:t>
      </w:r>
      <w:r w:rsidR="00CE5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тридцять п’ятої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D2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сьомого скликання Сергіївської сільської ради від </w:t>
      </w:r>
      <w:r w:rsidR="00CE5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19.12.2019</w:t>
      </w:r>
      <w:r w:rsidRPr="008D29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7E7089" w:rsidRPr="008D29A7" w:rsidRDefault="007E7089" w:rsidP="008D29A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0"/>
          <w:lang w:val="uk-UA" w:eastAsia="ru-RU"/>
        </w:rPr>
      </w:pPr>
    </w:p>
    <w:p w:rsid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7E7089" w:rsidRPr="00CE57C5" w:rsidRDefault="007E7089" w:rsidP="007E708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57C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ПРОГРАМА</w:t>
      </w:r>
    </w:p>
    <w:p w:rsidR="007E7089" w:rsidRPr="00CE57C5" w:rsidRDefault="007E7089" w:rsidP="007E7089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CE57C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ЗАЙНЯТОСТІ НАСЕЛЕННЯ </w:t>
      </w:r>
      <w:r w:rsidRPr="00CE57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СЕРГІЇВСЬКОЇ ОТГ</w:t>
      </w:r>
      <w:r w:rsidRPr="00CE57C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 w:rsidR="00CE57C5" w:rsidRPr="00CE57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20</w:t>
      </w:r>
      <w:r w:rsidRPr="00CE57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proofErr w:type="gramStart"/>
      <w:r w:rsidRPr="00CE57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Р</w:t>
      </w:r>
      <w:proofErr w:type="gramEnd"/>
      <w:r w:rsidRPr="00CE57C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ІК</w:t>
      </w:r>
    </w:p>
    <w:p w:rsidR="007E7089" w:rsidRPr="00CE57C5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r w:rsidRPr="00CE57C5"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8C7714" w:rsidRDefault="008C7714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8C7714" w:rsidRDefault="008C7714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8C7714" w:rsidRDefault="008C7714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8C7714" w:rsidRDefault="008C7714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8C7714" w:rsidRDefault="008C7714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8C7714" w:rsidRPr="008C7714" w:rsidRDefault="008C7714" w:rsidP="008C77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309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с. Сергіївка</w:t>
      </w:r>
      <w:r w:rsidRPr="008C77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–</w:t>
      </w:r>
      <w:r w:rsidRPr="009309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201</w:t>
      </w:r>
      <w:r w:rsidR="00CE57C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</w:t>
      </w:r>
      <w:r w:rsidRPr="008C771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р.</w:t>
      </w:r>
    </w:p>
    <w:p w:rsidR="00CE57C5" w:rsidRDefault="00CE57C5" w:rsidP="00A32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CE57C5" w:rsidRDefault="00CE57C5" w:rsidP="00A32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E7089" w:rsidRPr="00930947" w:rsidRDefault="00A32486" w:rsidP="00A32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324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 xml:space="preserve">1. 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ЗАГАЛЬНІ ПОЛОЖЕННЯ</w:t>
      </w:r>
    </w:p>
    <w:p w:rsidR="007E7089" w:rsidRPr="00930947" w:rsidRDefault="007E7089" w:rsidP="00A324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3248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bookmarkStart w:id="0" w:name="_GoBack"/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Програма зайнятості населення </w:t>
      </w:r>
      <w:r w:rsidR="00A324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Сергіївської ОТГ 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 20</w:t>
      </w:r>
      <w:r w:rsidR="00CE57C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</w:t>
      </w:r>
      <w:r w:rsidR="00A324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A32486"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</w:t>
      </w:r>
      <w:r w:rsidR="00A324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ік</w:t>
      </w:r>
      <w:bookmarkEnd w:id="0"/>
      <w:r w:rsidRPr="00A32486">
        <w:rPr>
          <w:rFonts w:ascii="Times New Roman" w:eastAsia="Times New Roman" w:hAnsi="Times New Roman" w:cs="Times New Roman"/>
          <w:sz w:val="28"/>
          <w:szCs w:val="20"/>
          <w:lang w:eastAsia="ru-RU"/>
        </w:rPr>
        <w:t>  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(далі – Програма)</w:t>
      </w:r>
      <w:r w:rsidRPr="00A3248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розроблена </w:t>
      </w:r>
      <w:r w:rsidRPr="00A3248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відповідно до </w:t>
      </w:r>
      <w:r w:rsidR="00A32486"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Закону України </w:t>
      </w:r>
      <w:r w:rsidR="00A324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 місцеве самоврядування в Україні» </w:t>
      </w:r>
      <w:r w:rsidR="00A32486"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Закону України </w:t>
      </w:r>
      <w:r w:rsidR="00A3248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«</w:t>
      </w:r>
      <w:r w:rsidR="00A32486"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 зайнятість населення»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7E7089" w:rsidRPr="00C45228" w:rsidRDefault="007E7089" w:rsidP="00A3248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Програма розроблена, на підставі показників економічного та соціального розвитку </w:t>
      </w:r>
      <w:r w:rsidR="00C452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громади </w:t>
      </w:r>
      <w:r w:rsidR="00C45228"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 201</w:t>
      </w:r>
      <w:r w:rsidR="00CE57C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9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рік, прогнозних критеріїв формув</w:t>
      </w:r>
      <w:r w:rsidR="00C45228"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ання економічної ситуації у 20</w:t>
      </w:r>
      <w:r w:rsidR="00CE57C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</w:t>
      </w:r>
      <w:r w:rsidR="00C452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="00C45228"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</w:t>
      </w:r>
      <w:r w:rsidR="00C452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ці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, враховує динаміку процесів, що від</w:t>
      </w:r>
      <w:r w:rsidR="00C45228"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буваються на ринку праці району</w:t>
      </w:r>
      <w:r w:rsidR="00C452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та громади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результати моніторингу діяльності </w:t>
      </w:r>
      <w:proofErr w:type="spellStart"/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ринкоутворюючих</w:t>
      </w:r>
      <w:proofErr w:type="spellEnd"/>
      <w:r w:rsidRPr="00A3248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підприємств і організацій </w:t>
      </w:r>
      <w:r w:rsidR="00C45228"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щодо перспективності</w:t>
      </w:r>
      <w:r w:rsid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C45228" w:rsidRPr="00930947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розвитку</w:t>
      </w:r>
      <w:r w:rsidR="00C4522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</w:t>
      </w:r>
    </w:p>
    <w:p w:rsidR="007E7089" w:rsidRPr="00930947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C45228" w:rsidRDefault="00C45228" w:rsidP="00C45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2. ПРОБЛЕ</w:t>
      </w:r>
      <w:r w:rsidR="00C32153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МА НА РОЗВ</w:t>
      </w:r>
      <w:r w:rsidR="00C32153" w:rsidRPr="00C321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`</w:t>
      </w:r>
      <w:r w:rsidR="00C32153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ЯЗАННЯ ЯКОЇ СПРЯМОВАНА ПРОГРАМА</w:t>
      </w:r>
    </w:p>
    <w:p w:rsidR="007E7089" w:rsidRPr="00A73353" w:rsidRDefault="007E7089" w:rsidP="00C321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733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Найбільше потребують соціального захисту від безробіття громадяни, які не здатні</w:t>
      </w:r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A733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на рівних конкурувати на ринку праці, в першу чергу молоді особи, особливо випускники навчальних закладів, особи перед пенсійного віку, інваліди, які не досягли пенсійного віку.</w:t>
      </w:r>
    </w:p>
    <w:p w:rsidR="007E7089" w:rsidRPr="00C45228" w:rsidRDefault="007E7089" w:rsidP="00C321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Основними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проблемами,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існують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місцевому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ринку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праці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є:</w:t>
      </w:r>
      <w:proofErr w:type="gramEnd"/>
    </w:p>
    <w:p w:rsidR="007E7089" w:rsidRPr="00C45228" w:rsidRDefault="007E7089" w:rsidP="00C321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певний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дисбаланс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попиту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пропонування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робочої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сили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E7089" w:rsidRPr="00C45228" w:rsidRDefault="007E7089" w:rsidP="00C321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недостатні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можливості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proofErr w:type="gram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ідвищення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кваліфікаційного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рівня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працівників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E7089" w:rsidRPr="00C45228" w:rsidRDefault="007E7089" w:rsidP="00C321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недостатній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proofErr w:type="gram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івень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працевлаштування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не</w:t>
      </w:r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конкурентоспроможних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ринку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праці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верств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населення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E7089" w:rsidRPr="00C45228" w:rsidRDefault="007E7089" w:rsidP="00C3215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існування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випадків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виплати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заробітної</w:t>
      </w:r>
      <w:proofErr w:type="spellEnd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плати «в конвертах»,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тіньової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зайнятості</w:t>
      </w:r>
      <w:proofErr w:type="spellEnd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.</w:t>
      </w:r>
    </w:p>
    <w:p w:rsidR="007E7089" w:rsidRPr="00C45228" w:rsidRDefault="007E7089" w:rsidP="00C321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Вжиття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заходів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щодо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збереження</w:t>
      </w:r>
      <w:proofErr w:type="spellEnd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трудового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потенціалу</w:t>
      </w:r>
      <w:proofErr w:type="spellEnd"/>
      <w:r w:rsidR="00C32153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громади</w:t>
      </w:r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,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розвитку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цивілізованого</w:t>
      </w:r>
      <w:proofErr w:type="spellEnd"/>
      <w:r w:rsidRPr="00C45228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ринку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праці</w:t>
      </w:r>
      <w:proofErr w:type="spellEnd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,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надання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proofErr w:type="gram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</w:t>
      </w:r>
      <w:proofErr w:type="gramEnd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ідтримки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зайнятості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неконкурентоспроможним</w:t>
      </w:r>
      <w:proofErr w:type="spellEnd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на ринку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праці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верствам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населення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дадуть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змогу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забезпечити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створення</w:t>
      </w:r>
      <w:proofErr w:type="spellEnd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умов для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повного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здійснення</w:t>
      </w:r>
      <w:proofErr w:type="spellEnd"/>
      <w:r w:rsidR="003223D0">
        <w:rPr>
          <w:rFonts w:ascii="Times New Roman" w:eastAsia="Times New Roman" w:hAnsi="Times New Roman" w:cs="Times New Roman"/>
          <w:iCs/>
          <w:sz w:val="28"/>
          <w:szCs w:val="20"/>
          <w:lang w:val="uk-UA" w:eastAsia="ru-RU"/>
        </w:rPr>
        <w:t xml:space="preserve">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громадянами</w:t>
      </w:r>
      <w:proofErr w:type="spellEnd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прав на </w:t>
      </w:r>
      <w:proofErr w:type="spellStart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працю</w:t>
      </w:r>
      <w:proofErr w:type="spellEnd"/>
      <w:r w:rsidRPr="00C4522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.</w:t>
      </w:r>
    </w:p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</w:t>
      </w:r>
    </w:p>
    <w:p w:rsidR="007E7089" w:rsidRPr="00C32153" w:rsidRDefault="00C32153" w:rsidP="00C32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153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3.</w:t>
      </w:r>
      <w:r w:rsidRPr="00C321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МЕТА ТА ОСНОВНІ ЗАВДАННЯ ПРОГРАМИ</w:t>
      </w:r>
    </w:p>
    <w:p w:rsidR="00A73353" w:rsidRDefault="007E7089" w:rsidP="00A7335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C32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Головна мета </w:t>
      </w:r>
      <w:proofErr w:type="spellStart"/>
      <w:r w:rsidRPr="00C32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Програми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реалізація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комплексу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заходів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спрямованих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впровадження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державної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політики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зайнятості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напрямі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7E7089" w:rsidRPr="003223D0" w:rsidRDefault="007E7089" w:rsidP="00A73353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оперативне</w:t>
      </w:r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задоволення потреб роботодавців у кваліфікованій</w:t>
      </w:r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робочій</w:t>
      </w:r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силі, мотивування престижу робітничих</w:t>
      </w:r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професій та сприяння у відновленні</w:t>
      </w:r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професійного</w:t>
      </w:r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r w:rsidRP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навчання на виробництві;</w:t>
      </w:r>
    </w:p>
    <w:p w:rsidR="007E7089" w:rsidRPr="00C32153" w:rsidRDefault="007E7089" w:rsidP="00C3215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задоволення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потреб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роботодавці</w:t>
      </w:r>
      <w:proofErr w:type="gram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spellEnd"/>
      <w:proofErr w:type="gram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шляхом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професійного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навчання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незайнятого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населення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працевлаштування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E7089" w:rsidRPr="00C32153" w:rsidRDefault="007E7089" w:rsidP="00C3215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працевлаштування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незайнятих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осіб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числа </w:t>
      </w:r>
      <w:proofErr w:type="spellStart"/>
      <w:proofErr w:type="gram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</w:t>
      </w:r>
      <w:proofErr w:type="gram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іально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незахищених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осіб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інвалідністю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тих,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що</w:t>
      </w:r>
      <w:proofErr w:type="spellEnd"/>
      <w:r w:rsidR="00CE57C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перебувають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стані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довготривалого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безробіття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E7089" w:rsidRPr="00C32153" w:rsidRDefault="007E7089" w:rsidP="00C3215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забезпечення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фахової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proofErr w:type="gram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ідготовки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кваліфікованих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робітників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числа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безробітних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груповою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індивідуальними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формами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навчання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замовлення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ринкоутворюючих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промислових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підприємств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району,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збільшення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обсягів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навчання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безробітних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безпосередньо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виробництві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E7089" w:rsidRPr="00C32153" w:rsidRDefault="007E7089" w:rsidP="00C3215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забезпечення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суспільно-корисної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спрямованості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громадських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="00C32153"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робіт</w:t>
      </w:r>
      <w:proofErr w:type="spellEnd"/>
      <w:r w:rsidR="00C32153"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C32153"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рахунок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="00C32153"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коштів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proofErr w:type="gramStart"/>
      <w:r w:rsidR="00C32153"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C32153"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ісцев</w:t>
      </w:r>
      <w:r w:rsidR="00C32153" w:rsidRPr="00C321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ого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</w:t>
      </w:r>
      <w:r w:rsidR="00C32153"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юджет</w:t>
      </w:r>
      <w:r w:rsidR="00C32153" w:rsidRPr="00C321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у</w:t>
      </w:r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32153" w:rsidRDefault="00C32153" w:rsidP="00C32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E7089" w:rsidRPr="00C32153" w:rsidRDefault="007E7089" w:rsidP="00C321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     </w:t>
      </w:r>
      <w:proofErr w:type="spellStart"/>
      <w:r w:rsidRPr="00C32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Основні</w:t>
      </w:r>
      <w:proofErr w:type="spellEnd"/>
      <w:r w:rsidR="003223D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завдання</w:t>
      </w:r>
      <w:proofErr w:type="spellEnd"/>
      <w:r w:rsidR="003223D0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Програми</w:t>
      </w:r>
      <w:proofErr w:type="spellEnd"/>
      <w:r w:rsidRPr="00C3215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7E7089" w:rsidRPr="00C32153" w:rsidRDefault="007E7089" w:rsidP="00C32153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оцінка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стану ринку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праці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прогнозних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параметрів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трудового</w:t>
      </w:r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потенціалу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обсягів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зайнятості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proofErr w:type="gram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трудової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іграції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створення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нових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робочих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місць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збереження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існуючих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E7089" w:rsidRPr="00C32153" w:rsidRDefault="007E7089" w:rsidP="00C32153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сприяння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розвитку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proofErr w:type="gram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ідприємництва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</w:t>
      </w:r>
      <w:r w:rsidR="00C32153"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зайнятості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E7089" w:rsidRPr="00C32153" w:rsidRDefault="007E7089" w:rsidP="00C32153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подальший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розвиток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професійного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навчання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урахуванням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потреб ринку</w:t>
      </w:r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праці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gram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тому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числі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безпосередньо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робочому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місці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E7089" w:rsidRPr="00C32153" w:rsidRDefault="007E7089" w:rsidP="00C32153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детінізація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ринку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праці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легалізація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неформальної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зайнятості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реалізація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заходів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щодо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легалізації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заробітної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плати та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впровадження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proofErr w:type="gram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</w:t>
      </w:r>
      <w:proofErr w:type="gram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іально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відповідального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spellStart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бізнесу</w:t>
      </w:r>
      <w:proofErr w:type="spellEnd"/>
      <w:r w:rsidRPr="00C3215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7E7089" w:rsidRPr="00A73353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0"/>
          <w:szCs w:val="20"/>
          <w:lang w:val="uk-UA" w:eastAsia="ru-RU"/>
        </w:rPr>
      </w:pPr>
      <w:r w:rsidRPr="00A73353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A73353" w:rsidRPr="00A73353" w:rsidRDefault="00A73353" w:rsidP="00A73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4</w:t>
      </w:r>
      <w:r w:rsidRPr="00A733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ОБСЯГИ ТА ДЖЕРЕЛА ФІНАНСУВАННЯ ПРОГРАМИ</w:t>
      </w:r>
    </w:p>
    <w:p w:rsidR="00A73353" w:rsidRPr="00A73353" w:rsidRDefault="00A73353" w:rsidP="00A733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A733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Фінансування Програми здійснюється відповідно до законодавства України за рахунок коштів бюджету ОТГ та інших джерел, не заборонених чинним законодавством.</w:t>
      </w:r>
    </w:p>
    <w:p w:rsidR="00A73353" w:rsidRPr="00A73353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0"/>
          <w:szCs w:val="20"/>
          <w:lang w:val="uk-UA" w:eastAsia="ru-RU"/>
        </w:rPr>
      </w:pPr>
      <w:r w:rsidRPr="00A73353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A73353" w:rsidRPr="00A73353" w:rsidRDefault="00A73353" w:rsidP="00A73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5</w:t>
      </w:r>
      <w:r w:rsidRPr="00A733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. КОНТРОЛЬ ЗА ВИКОНАННЯ ПРОГРАМИ</w:t>
      </w:r>
    </w:p>
    <w:p w:rsidR="00A73353" w:rsidRPr="00A73353" w:rsidRDefault="00A73353" w:rsidP="00A73353">
      <w:pPr>
        <w:widowControl w:val="0"/>
        <w:tabs>
          <w:tab w:val="left" w:pos="567"/>
        </w:tabs>
        <w:autoSpaceDE w:val="0"/>
        <w:autoSpaceDN w:val="0"/>
        <w:adjustRightInd w:val="0"/>
        <w:spacing w:before="40"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73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</w:t>
      </w:r>
      <w:r w:rsidR="00CE57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</w:t>
      </w:r>
      <w:r w:rsidRPr="00A733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ами здійснює </w:t>
      </w:r>
      <w:proofErr w:type="spell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 </w:t>
      </w:r>
      <w:proofErr w:type="spell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іального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населення</w:t>
      </w:r>
      <w:proofErr w:type="spellEnd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законності</w:t>
      </w:r>
      <w:proofErr w:type="spellEnd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депутатської</w:t>
      </w:r>
      <w:proofErr w:type="spellEnd"/>
      <w:r w:rsidR="003223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етики</w:t>
      </w:r>
      <w:proofErr w:type="spellEnd"/>
      <w:r w:rsidRPr="00A733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3353" w:rsidRPr="00A73353" w:rsidRDefault="00A73353" w:rsidP="00A733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ru-RU"/>
        </w:rPr>
      </w:pPr>
    </w:p>
    <w:p w:rsidR="007A72E1" w:rsidRDefault="00A73353" w:rsidP="007A7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</w:pPr>
      <w:r w:rsidRPr="00A73353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A73353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6. </w:t>
      </w:r>
      <w:r w:rsidRPr="00A733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СТАН ЕКОНОМІЧНОГО РОЗВИТКУ </w:t>
      </w:r>
      <w:r w:rsidR="003F3EF8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ГРОМАДИ</w:t>
      </w:r>
      <w:r w:rsidR="00CE57C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 </w:t>
      </w:r>
      <w:r w:rsidR="003F3E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ТА ЗАЙНЯТІСТЬ НАСЕЛЕННЯ У 201</w:t>
      </w:r>
      <w:r w:rsidR="00CE57C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7</w:t>
      </w:r>
      <w:r w:rsidR="003F3EF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-201</w:t>
      </w:r>
      <w:r w:rsidR="00CE57C5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 xml:space="preserve">9 </w:t>
      </w:r>
      <w:proofErr w:type="gramStart"/>
      <w:r w:rsidRPr="00A733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РОКАХ</w:t>
      </w:r>
      <w:proofErr w:type="gramEnd"/>
      <w:r w:rsidRPr="00A7335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D84261" w:rsidRPr="00D84261" w:rsidRDefault="00D84261" w:rsidP="006A22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</w:pPr>
      <w:r w:rsidRPr="00D842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До складу Сергіївської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громади </w:t>
      </w:r>
      <w:r w:rsidRPr="00D842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входять: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Сергіївка,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Лободине,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Вечірчине,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Чернече,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Калинівщина,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Розбишівка,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Веселе,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Крамарщина,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Качанове,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Новоселівка,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Дачне,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="006A229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Вирішальне, </w:t>
      </w:r>
      <w:r w:rsidR="00CE57C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с. </w:t>
      </w:r>
      <w:r w:rsidRPr="00D8426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uk-UA" w:eastAsia="ru-RU"/>
        </w:rPr>
        <w:t xml:space="preserve">Степове. </w:t>
      </w:r>
      <w:r w:rsidRPr="00D842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Відстань від районно</w:t>
      </w:r>
      <w:r w:rsidR="006A2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го центру до центральної садиби 20</w:t>
      </w:r>
      <w:r w:rsidR="00CE57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</w:t>
      </w:r>
      <w:r w:rsidRPr="00D842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км.</w:t>
      </w:r>
      <w:r w:rsidR="006A2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Транспортне сполучення здійснюється дорогами загального користування</w:t>
      </w:r>
      <w:r w:rsidR="00CE57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>,</w:t>
      </w:r>
      <w:r w:rsidR="006A229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uk-UA" w:eastAsia="ru-RU"/>
        </w:rPr>
        <w:t xml:space="preserve"> що забезпечує доступність мешканців цих сіл до районного центру та центрів старостату.</w:t>
      </w:r>
    </w:p>
    <w:p w:rsidR="00667012" w:rsidRDefault="00D84261" w:rsidP="00667012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</w:pPr>
      <w:r w:rsidRPr="00D84261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 xml:space="preserve">Здійснюють господарську та підприємницьку діяльність на території ради: </w:t>
      </w:r>
      <w:r w:rsidRPr="007A72E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 xml:space="preserve">ТОВ «Вікторія Агро», </w:t>
      </w:r>
      <w:r w:rsidRPr="00D8426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СТОВ «</w:t>
      </w:r>
      <w:proofErr w:type="spellStart"/>
      <w:r w:rsidRPr="00D8426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Лободіно</w:t>
      </w:r>
      <w:proofErr w:type="spellEnd"/>
      <w:r w:rsidRPr="007A72E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 xml:space="preserve">, СТОВ </w:t>
      </w:r>
      <w:r w:rsidRPr="00D8426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«</w:t>
      </w:r>
      <w:r w:rsidRPr="007A72E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Дружба Нова</w:t>
      </w:r>
      <w:r w:rsidRPr="00D8426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 xml:space="preserve">» </w:t>
      </w:r>
      <w:r w:rsidRPr="007A72E1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, ДП ДГ «Нектар»,ТОВ «Агро-Край», ФГ «СП «Агро-Ка»</w:t>
      </w:r>
      <w:r w:rsidR="0066701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 xml:space="preserve">, </w:t>
      </w:r>
      <w:r w:rsidR="00667012" w:rsidRPr="0066701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Фермерські господарства</w:t>
      </w:r>
      <w:r w:rsidR="0066701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 xml:space="preserve">: </w:t>
      </w:r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ФГ «</w:t>
      </w:r>
      <w:proofErr w:type="spellStart"/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Білики</w:t>
      </w:r>
      <w:proofErr w:type="spellEnd"/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», ФГ «</w:t>
      </w:r>
      <w:proofErr w:type="spellStart"/>
      <w:r w:rsidR="00667012" w:rsidRPr="0066701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Ілляшенко</w:t>
      </w:r>
      <w:proofErr w:type="spellEnd"/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 xml:space="preserve"> </w:t>
      </w:r>
      <w:r w:rsidR="00667012" w:rsidRPr="0066701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В.O</w:t>
      </w:r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», ФГ «</w:t>
      </w:r>
      <w:r w:rsidR="00667012" w:rsidRPr="0066701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Миронів гай</w:t>
      </w:r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», ФГ «Колос 2000», ФГ «Оберіг 2000»</w:t>
      </w:r>
      <w:r w:rsidR="00667012" w:rsidRPr="00667012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, ФО</w:t>
      </w:r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П Лобода Сергій Васильович, ФГ «</w:t>
      </w:r>
      <w:proofErr w:type="spellStart"/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Бармиця</w:t>
      </w:r>
      <w:proofErr w:type="spellEnd"/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», ФГ «Маркове», ФГ «</w:t>
      </w:r>
      <w:proofErr w:type="spellStart"/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Олексенко</w:t>
      </w:r>
      <w:proofErr w:type="spellEnd"/>
      <w:r w:rsidR="00CE57C5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 xml:space="preserve"> В.О», ФГ «Пащенко П.М»</w:t>
      </w:r>
      <w:r w:rsidR="006A229A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 xml:space="preserve">. </w:t>
      </w:r>
    </w:p>
    <w:p w:rsidR="00A33E3A" w:rsidRDefault="006A229A" w:rsidP="00A33E3A">
      <w:pPr>
        <w:widowControl w:val="0"/>
        <w:shd w:val="clear" w:color="auto" w:fill="FFFFFF"/>
        <w:autoSpaceDE w:val="0"/>
        <w:autoSpaceDN w:val="0"/>
        <w:adjustRightInd w:val="0"/>
        <w:spacing w:before="5" w:after="0" w:line="317" w:lineRule="exact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>Також на території</w:t>
      </w:r>
      <w:r w:rsidR="003223D0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val="uk-UA" w:eastAsia="ru-RU"/>
        </w:rPr>
        <w:t xml:space="preserve">Сергіївської об’єднаної територіальної громади знаходиться потужна група підприємств нафтогазового комплексу України: </w:t>
      </w:r>
      <w:r w:rsidR="00CE57C5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ПАТ «Укрнафта»</w:t>
      </w:r>
      <w:r w:rsidRPr="006A229A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 xml:space="preserve"> (НГВУ </w:t>
      </w:r>
      <w:r w:rsidR="00CE57C5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«</w:t>
      </w:r>
      <w:proofErr w:type="spellStart"/>
      <w:r w:rsidR="00CE57C5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Полтаванафтогаз</w:t>
      </w:r>
      <w:proofErr w:type="spellEnd"/>
      <w:r w:rsidR="00CE57C5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»</w:t>
      </w:r>
      <w:r w:rsidRPr="006A229A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 xml:space="preserve"> </w:t>
      </w:r>
      <w:proofErr w:type="spellStart"/>
      <w:r w:rsidRPr="006A229A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ЦВН</w:t>
      </w:r>
      <w:r w:rsidR="00CE57C5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іГ-</w:t>
      </w:r>
      <w:proofErr w:type="spellEnd"/>
      <w:r w:rsidR="00CE57C5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 xml:space="preserve"> 1 (с. Качанове); УАС   ПАТ «Укрнафта»</w:t>
      </w:r>
      <w:r w:rsidRPr="006A229A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), об’єкти  Прикарпатського  УБР, об’єкти Качанівського ГПЗ (факельне господарство), цех №3  Полтавського тампонаж</w:t>
      </w:r>
      <w:r w:rsidR="00CE57C5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ного управління, об’єкти  ПАТ  «</w:t>
      </w:r>
      <w:proofErr w:type="spellStart"/>
      <w:r w:rsidR="00CE57C5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Укртранснафта</w:t>
      </w:r>
      <w:proofErr w:type="spellEnd"/>
      <w:r w:rsidR="00CE57C5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»</w:t>
      </w:r>
      <w:r w:rsidRPr="006A229A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 xml:space="preserve"> </w:t>
      </w:r>
      <w:r w:rsidRPr="006A229A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lastRenderedPageBreak/>
        <w:t xml:space="preserve">(майновий комплекс  </w:t>
      </w:r>
      <w:proofErr w:type="spellStart"/>
      <w:r w:rsidRPr="006A229A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>Глинсько-Розбишівської</w:t>
      </w:r>
      <w:proofErr w:type="spellEnd"/>
      <w:r w:rsidRPr="006A229A">
        <w:rPr>
          <w:rFonts w:ascii="Times New Roman" w:eastAsia="Times New Roman" w:hAnsi="Times New Roman" w:cs="Times New Roman"/>
          <w:bCs/>
          <w:iCs/>
          <w:color w:val="000000"/>
          <w:spacing w:val="5"/>
          <w:sz w:val="28"/>
          <w:szCs w:val="28"/>
          <w:lang w:val="uk-UA" w:eastAsia="ru-RU"/>
        </w:rPr>
        <w:t xml:space="preserve">  ЛВДС).</w:t>
      </w:r>
    </w:p>
    <w:p w:rsidR="00D84261" w:rsidRPr="00D84261" w:rsidRDefault="00D84261" w:rsidP="00A33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val="uk-UA" w:eastAsia="ru-RU"/>
        </w:rPr>
      </w:pPr>
      <w:r w:rsidRPr="00D84261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val="uk-UA" w:eastAsia="ru-RU"/>
        </w:rPr>
        <w:t>На території</w:t>
      </w:r>
      <w:r w:rsidR="00A33E3A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val="uk-UA" w:eastAsia="ru-RU"/>
        </w:rPr>
        <w:t xml:space="preserve"> громади</w:t>
      </w:r>
      <w:r w:rsidRPr="00D84261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val="uk-UA" w:eastAsia="ru-RU"/>
        </w:rPr>
        <w:t xml:space="preserve"> функціонують:</w:t>
      </w:r>
    </w:p>
    <w:p w:rsidR="00D84261" w:rsidRPr="00D84261" w:rsidRDefault="00D84261" w:rsidP="00A33E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  <w:t xml:space="preserve">3 загальноосвітні заклади </w:t>
      </w:r>
      <w:r w:rsidRPr="007A72E1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  <w:t>(255 учнів)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Сергіївська ЗОШ І-ІІІ ст. (130 учнів)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Розбишівська ЗОШ І-ІІІ ст. (50 учнів)</w:t>
      </w:r>
    </w:p>
    <w:p w:rsid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Качанівська ЗОШ І-ІІ ст. (75 учнів)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Розбишівська спеціальна загальноосвітня школа-інтернат Полтавської обласної ради (120 учнів).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  <w:t xml:space="preserve">3 дошкільних </w:t>
      </w:r>
      <w:proofErr w:type="spellStart"/>
      <w:r w:rsidRPr="007A72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  <w:t>заклада</w:t>
      </w:r>
      <w:proofErr w:type="spellEnd"/>
      <w:r w:rsidRPr="007A72E1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  <w:t>(7</w:t>
      </w:r>
      <w:r w:rsidR="00E555A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  <w:t>8</w:t>
      </w:r>
      <w:r w:rsidRPr="007A72E1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val="uk-UA" w:eastAsia="ru-RU"/>
        </w:rPr>
        <w:t xml:space="preserve"> дітей)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ДНЗ “Джерельце” (3</w:t>
      </w:r>
      <w:r w:rsidR="00E555A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5</w:t>
      </w: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 дітей)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ДНЗ “Перлинка” (</w:t>
      </w:r>
      <w:r w:rsidR="00E555A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20</w:t>
      </w: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 дітей)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ДНЗ “Ромашка” (</w:t>
      </w:r>
      <w:r w:rsidR="00E555A6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23</w:t>
      </w: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 дітей)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 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  <w:t>Культура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4</w:t>
      </w: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 клубних установ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3 бібліотеки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 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  <w:lang w:val="uk-UA" w:eastAsia="ru-RU"/>
        </w:rPr>
        <w:t>Медицина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2 амбулаторії загальної практики сімейної медицини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3 </w:t>
      </w:r>
      <w:proofErr w:type="spellStart"/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фельшерсько—акушерських</w:t>
      </w:r>
      <w:proofErr w:type="spellEnd"/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 xml:space="preserve"> пунктів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1 аптека</w:t>
      </w:r>
    </w:p>
    <w:p w:rsidR="007A72E1" w:rsidRPr="007A72E1" w:rsidRDefault="007A72E1" w:rsidP="00A33E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uk-UA" w:eastAsia="ru-RU"/>
        </w:rPr>
        <w:t>1 аптечний пункт</w:t>
      </w:r>
    </w:p>
    <w:p w:rsidR="007A72E1" w:rsidRPr="007A72E1" w:rsidRDefault="007A72E1" w:rsidP="007A72E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uk-UA" w:eastAsia="ru-RU"/>
        </w:rPr>
      </w:pPr>
      <w:r w:rsidRPr="007A72E1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:lang w:val="uk-UA" w:eastAsia="ru-RU"/>
        </w:rPr>
        <w:t> </w:t>
      </w:r>
    </w:p>
    <w:p w:rsidR="00541A3B" w:rsidRPr="00D84261" w:rsidRDefault="00541A3B" w:rsidP="00541A3B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</w:pPr>
      <w:r w:rsidRPr="00A33E3A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  <w:lang w:val="uk-UA" w:eastAsia="ru-RU"/>
        </w:rPr>
        <w:t xml:space="preserve">У населених пунктах </w:t>
      </w: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  <w:lang w:val="uk-UA" w:eastAsia="ru-RU"/>
        </w:rPr>
        <w:t xml:space="preserve">громади проживає </w:t>
      </w:r>
      <w:r w:rsidRPr="00A33E3A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  <w:lang w:val="uk-UA" w:eastAsia="ru-RU"/>
        </w:rPr>
        <w:t xml:space="preserve">909 </w:t>
      </w:r>
      <w:r w:rsidRPr="00A33E3A">
        <w:rPr>
          <w:rFonts w:ascii="Times New Roman" w:eastAsia="Times New Roman" w:hAnsi="Times New Roman" w:cs="Times New Roman"/>
          <w:bCs/>
          <w:iCs/>
          <w:color w:val="000000"/>
          <w:spacing w:val="3"/>
          <w:sz w:val="28"/>
          <w:szCs w:val="28"/>
          <w:lang w:val="uk-UA" w:eastAsia="ru-RU"/>
        </w:rPr>
        <w:t xml:space="preserve">чол. населення </w:t>
      </w:r>
      <w:r w:rsidRPr="00D8426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uk-UA" w:eastAsia="ru-RU"/>
        </w:rPr>
        <w:t>з них: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487"/>
        <w:gridCol w:w="3119"/>
      </w:tblGrid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before="5" w:after="0" w:line="317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</w:t>
            </w:r>
            <w:r w:rsidRPr="00D8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ab/>
            </w:r>
            <w:r w:rsidRPr="00D8426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ru-RU"/>
              </w:rPr>
              <w:t>Працездатних, всього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456 </w:t>
            </w: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чол.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u w:val="single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28"/>
                <w:szCs w:val="28"/>
                <w:u w:val="single"/>
                <w:lang w:val="uk-UA" w:eastAsia="ru-RU"/>
              </w:rPr>
              <w:t>з них:</w:t>
            </w:r>
          </w:p>
        </w:tc>
        <w:tc>
          <w:tcPr>
            <w:tcW w:w="3119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541A3B" w:rsidRPr="00D84261" w:rsidTr="00CD1BBA">
        <w:trPr>
          <w:trHeight w:val="147"/>
        </w:trPr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uk-UA" w:eastAsia="ru-RU"/>
              </w:rPr>
              <w:t xml:space="preserve">1.1. зайняті:  </w:t>
            </w:r>
          </w:p>
        </w:tc>
        <w:tc>
          <w:tcPr>
            <w:tcW w:w="3119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</w:p>
        </w:tc>
      </w:tr>
      <w:tr w:rsidR="00541A3B" w:rsidRPr="00D84261" w:rsidTr="00CD1BBA">
        <w:trPr>
          <w:trHeight w:val="473"/>
        </w:trPr>
        <w:tc>
          <w:tcPr>
            <w:tcW w:w="6487" w:type="dxa"/>
          </w:tcPr>
          <w:p w:rsidR="00541A3B" w:rsidRPr="00D84261" w:rsidRDefault="00541A3B" w:rsidP="00541A3B">
            <w:pPr>
              <w:widowControl w:val="0"/>
              <w:numPr>
                <w:ilvl w:val="0"/>
                <w:numId w:val="20"/>
              </w:num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ru-RU"/>
              </w:rPr>
              <w:t xml:space="preserve">у юридичних осіб                                                        </w:t>
            </w:r>
          </w:p>
          <w:p w:rsidR="00541A3B" w:rsidRPr="00D84261" w:rsidRDefault="00541A3B" w:rsidP="00CD1BBA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540чол.</w:t>
            </w:r>
          </w:p>
        </w:tc>
      </w:tr>
      <w:tr w:rsidR="00541A3B" w:rsidRPr="00D84261" w:rsidTr="00CD1BBA">
        <w:trPr>
          <w:trHeight w:val="472"/>
        </w:trPr>
        <w:tc>
          <w:tcPr>
            <w:tcW w:w="6487" w:type="dxa"/>
          </w:tcPr>
          <w:p w:rsidR="00541A3B" w:rsidRPr="00D84261" w:rsidRDefault="00541A3B" w:rsidP="00541A3B">
            <w:pPr>
              <w:widowControl w:val="0"/>
              <w:numPr>
                <w:ilvl w:val="0"/>
                <w:numId w:val="20"/>
              </w:numPr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ru-RU"/>
              </w:rPr>
              <w:t>у приватних підприємців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22 чол.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541A3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приватні підприємці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24 чол.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541A3B">
            <w:pPr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за межами району, області та        </w:t>
            </w:r>
          </w:p>
          <w:p w:rsidR="00541A3B" w:rsidRPr="00D84261" w:rsidRDefault="00541A3B" w:rsidP="00CD1BB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     за кордоном</w:t>
            </w:r>
          </w:p>
          <w:p w:rsidR="00541A3B" w:rsidRPr="00D84261" w:rsidRDefault="00541A3B" w:rsidP="00CD1BBA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317" w:lineRule="exac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1.2. </w:t>
            </w:r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студенти та військовослужбовці строкової     військової служби                                        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34 чол.</w:t>
            </w:r>
          </w:p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77чол..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0" w:line="317" w:lineRule="exact"/>
              <w:ind w:right="-818"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1.3.безробітні на обліку в центрах зайнятості 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106 </w:t>
            </w: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чол. 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28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1.3.1. у т.ч. за професіями: </w:t>
            </w:r>
          </w:p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шофери________________</w:t>
            </w:r>
          </w:p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трактористи___________________</w:t>
            </w:r>
          </w:p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будівельники___________________</w:t>
            </w:r>
          </w:p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різноробочі___________________</w:t>
            </w:r>
          </w:p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інші____________________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21 </w:t>
            </w: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чол.</w:t>
            </w:r>
          </w:p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чол.</w:t>
            </w:r>
          </w:p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чол.</w:t>
            </w:r>
          </w:p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чол.</w:t>
            </w:r>
          </w:p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35 </w:t>
            </w: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чол.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shd w:val="clear" w:color="auto" w:fill="FFFFFF"/>
              <w:tabs>
                <w:tab w:val="left" w:pos="960"/>
              </w:tabs>
              <w:autoSpaceDE w:val="0"/>
              <w:autoSpaceDN w:val="0"/>
              <w:adjustRightInd w:val="0"/>
              <w:spacing w:after="0" w:line="317" w:lineRule="exact"/>
              <w:ind w:right="209"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1.3.2. осіб, які потребують соціального захисту, всього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138 чол.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426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uk-UA" w:eastAsia="ru-RU"/>
              </w:rPr>
              <w:t>з них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один із батьків або особа, яка їх замінює і: має на утриманні дітей віком до шести років; виховує без одного з подружжя віком до 14 років або дитину-інваліда; утримує без одного з подружжя інваліда з дитинства та/або інваліда І групи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 чол.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діти </w:t>
            </w:r>
            <w:proofErr w:type="spellStart"/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–сироти</w:t>
            </w:r>
            <w:proofErr w:type="spellEnd"/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діти позбавлені батьківського піклування 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2чол.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особи, звільнені після відбуття покарання або примусового лікування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чол.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молодь, яка закінчила або припинила навчання у середніх ЗОШ, ПТНЗ та ВНЗ,  звільнилася з строкової військової або альтернативної служби і яка вперше приймається на роботу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 чол.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особи, яким до настання права на    пенсію за віком залишилося 10 і менше років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317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126 чол.</w:t>
            </w:r>
          </w:p>
        </w:tc>
      </w:tr>
      <w:tr w:rsidR="00541A3B" w:rsidRPr="00D84261" w:rsidTr="00CD1BBA">
        <w:trPr>
          <w:trHeight w:val="663"/>
        </w:trPr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інваліди, які не досягли пенсійного віку</w:t>
            </w:r>
          </w:p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17чол.</w:t>
            </w:r>
          </w:p>
        </w:tc>
      </w:tr>
      <w:tr w:rsidR="00541A3B" w:rsidRPr="00D84261" w:rsidTr="00CD1BBA"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особи, яким виповнилося 15 років та які за згодою одного з батьків можуть, як виняток, прийматися на роботу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 чол.</w:t>
            </w:r>
          </w:p>
        </w:tc>
      </w:tr>
      <w:tr w:rsidR="00541A3B" w:rsidRPr="00D84261" w:rsidTr="00CD1BBA">
        <w:trPr>
          <w:trHeight w:val="759"/>
        </w:trPr>
        <w:tc>
          <w:tcPr>
            <w:tcW w:w="6487" w:type="dxa"/>
          </w:tcPr>
          <w:p w:rsidR="00541A3B" w:rsidRPr="00D84261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842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1.3.3. осіб, які відносяться до  сімейного безробіття</w:t>
            </w:r>
          </w:p>
        </w:tc>
        <w:tc>
          <w:tcPr>
            <w:tcW w:w="3119" w:type="dxa"/>
          </w:tcPr>
          <w:p w:rsidR="00541A3B" w:rsidRPr="00A33E3A" w:rsidRDefault="00541A3B" w:rsidP="00CD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33E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57 чол.</w:t>
            </w:r>
          </w:p>
        </w:tc>
      </w:tr>
    </w:tbl>
    <w:p w:rsidR="00541A3B" w:rsidRPr="00A33E3A" w:rsidRDefault="00541A3B" w:rsidP="00541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uk-UA"/>
        </w:rPr>
        <w:tab/>
      </w:r>
      <w:r w:rsidRPr="00A33E3A"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>Перспектива створення нових робочих місць –</w:t>
      </w:r>
      <w:r>
        <w:rPr>
          <w:rFonts w:ascii="Times New Roman" w:eastAsia="Times New Roman" w:hAnsi="Times New Roman" w:cs="Times New Roman"/>
          <w:bCs/>
          <w:iCs/>
          <w:color w:val="000000"/>
          <w:spacing w:val="2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Cs/>
          <w:iCs/>
          <w:color w:val="000000"/>
          <w:spacing w:val="2"/>
          <w:sz w:val="28"/>
          <w:szCs w:val="28"/>
          <w:lang w:val="uk-UA"/>
        </w:rPr>
        <w:t>24</w:t>
      </w:r>
      <w:r w:rsidRPr="00A33E3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val="uk-UA" w:eastAsia="ru-RU"/>
        </w:rPr>
        <w:t>.</w:t>
      </w:r>
    </w:p>
    <w:p w:rsidR="003F3EF8" w:rsidRPr="003F3EF8" w:rsidRDefault="003F3EF8" w:rsidP="00A73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A73353" w:rsidRDefault="00A73353" w:rsidP="00A733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E7089" w:rsidRPr="00A73353" w:rsidRDefault="007E7089" w:rsidP="00A733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CE57C5" w:rsidRDefault="00CE57C5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uk-UA" w:eastAsia="ru-RU"/>
        </w:rPr>
      </w:pPr>
    </w:p>
    <w:p w:rsidR="00CE57C5" w:rsidRDefault="00CE57C5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uk-UA" w:eastAsia="ru-RU"/>
        </w:rPr>
      </w:pPr>
    </w:p>
    <w:p w:rsidR="00CE57C5" w:rsidRDefault="00CE57C5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uk-UA" w:eastAsia="ru-RU"/>
        </w:rPr>
      </w:pPr>
    </w:p>
    <w:p w:rsidR="00CE57C5" w:rsidRDefault="00CE57C5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uk-UA" w:eastAsia="ru-RU"/>
        </w:rPr>
      </w:pPr>
    </w:p>
    <w:p w:rsidR="00CE57C5" w:rsidRPr="00CE57C5" w:rsidRDefault="00CE57C5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</w:p>
    <w:p w:rsidR="00A005CA" w:rsidRPr="009F4326" w:rsidRDefault="00A005CA" w:rsidP="00A00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432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ПАСПОРТ</w:t>
      </w:r>
    </w:p>
    <w:p w:rsidR="00A005CA" w:rsidRPr="009F4326" w:rsidRDefault="00A005CA" w:rsidP="00A005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9F4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ПРОГРАМИ ЗАЙНЯТОСТІ НАСЕЛЕННЯ </w:t>
      </w:r>
      <w:r w:rsidR="009F4326" w:rsidRPr="009F43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СЕРГІЇВСЬКОЇ ОТГ </w:t>
      </w:r>
      <w:r w:rsidR="009F4326" w:rsidRPr="009F432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</w:t>
      </w:r>
      <w:r w:rsidR="00CE57C5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</w:t>
      </w:r>
      <w:r w:rsidR="009F4326" w:rsidRPr="009F43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</w:t>
      </w:r>
      <w:proofErr w:type="gramStart"/>
      <w:r w:rsidR="009F4326" w:rsidRPr="009F43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Р</w:t>
      </w:r>
      <w:proofErr w:type="gramEnd"/>
      <w:r w:rsidR="009F4326" w:rsidRPr="009F43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ІК</w:t>
      </w:r>
    </w:p>
    <w:p w:rsidR="00A005CA" w:rsidRPr="009F4326" w:rsidRDefault="00A005CA" w:rsidP="00A005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F4326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</w:p>
    <w:tbl>
      <w:tblPr>
        <w:tblW w:w="1049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4172"/>
        <w:gridCol w:w="5893"/>
      </w:tblGrid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Ініціатори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розроблення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Програми</w:t>
            </w:r>
            <w:proofErr w:type="spellEnd"/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Виконавчий комітет Сергіївської сільської ради</w:t>
            </w:r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Підстава для прийняття Програми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Закону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proofErr w:type="gramStart"/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ісцеве</w:t>
            </w:r>
            <w:proofErr w:type="spellEnd"/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самоврядування в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Україні</w:t>
            </w:r>
            <w:proofErr w:type="spellEnd"/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та Закону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зайнятість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proofErr w:type="spellEnd"/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Розробники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Програми</w:t>
            </w:r>
            <w:proofErr w:type="spellEnd"/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Сектор економічного розвитку та інвестицій виконавчого комітету Сергіївської сільської ради</w:t>
            </w:r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Співрозробники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Програми</w:t>
            </w:r>
            <w:proofErr w:type="spellEnd"/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-</w:t>
            </w:r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Відповідальні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виконавці</w:t>
            </w:r>
            <w:proofErr w:type="spellEnd"/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Виконавчий комітет Сергіївської сільської ради</w:t>
            </w:r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6.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Учасники Програми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7.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Номер і назва операційної цілі Стратегії розвитку Сергіївської об’єднаної територіальної громади на 2018-2020 рік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2.2. Створення умов для молодих сімей</w:t>
            </w:r>
          </w:p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2.3. Розвиток спроможностей для громадської активності жителів громади, молоді</w:t>
            </w:r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8.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Термін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реалізації</w:t>
            </w:r>
            <w:proofErr w:type="spellEnd"/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20</w:t>
            </w:r>
            <w:r w:rsidR="009F4326"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gramStart"/>
            <w:r w:rsidR="009F4326"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р</w:t>
            </w:r>
            <w:proofErr w:type="gramEnd"/>
            <w:r w:rsidR="009F4326"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ік</w:t>
            </w:r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9.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Перелік місцевих бюджеті, які беруть участь у виконанні Програми (для комплексних Програм)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-</w:t>
            </w:r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10.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Загальний обсяг фінансованих ресурсів, необхідних для реалізації Програми, всього, у тому числі: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E555A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73,848</w:t>
            </w:r>
            <w:r w:rsid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тис. грн. </w:t>
            </w:r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11.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Коштів бюджету ОТГ</w:t>
            </w:r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4326" w:rsidRPr="009F4326" w:rsidRDefault="00E555A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73,848</w:t>
            </w:r>
            <w:r w:rsid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тис. грн. </w:t>
            </w:r>
          </w:p>
        </w:tc>
      </w:tr>
      <w:tr w:rsidR="009F4326" w:rsidRPr="009F4326" w:rsidTr="00A005CA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12.</w:t>
            </w:r>
          </w:p>
        </w:tc>
        <w:tc>
          <w:tcPr>
            <w:tcW w:w="4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A005CA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Коштів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інших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 xml:space="preserve"> </w:t>
            </w:r>
            <w:proofErr w:type="spellStart"/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джерел</w:t>
            </w:r>
            <w:proofErr w:type="spellEnd"/>
          </w:p>
        </w:tc>
        <w:tc>
          <w:tcPr>
            <w:tcW w:w="5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5CA" w:rsidRPr="009F4326" w:rsidRDefault="009F4326" w:rsidP="009F4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</w:pPr>
            <w:r w:rsidRPr="009F4326">
              <w:rPr>
                <w:rFonts w:ascii="Times New Roman" w:eastAsia="Times New Roman" w:hAnsi="Times New Roman" w:cs="Times New Roman"/>
                <w:sz w:val="28"/>
                <w:szCs w:val="20"/>
                <w:lang w:val="uk-UA" w:eastAsia="ru-RU"/>
              </w:rPr>
              <w:t>-</w:t>
            </w:r>
          </w:p>
        </w:tc>
      </w:tr>
    </w:tbl>
    <w:p w:rsidR="007E7089" w:rsidRPr="009F4326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0"/>
          <w:szCs w:val="20"/>
          <w:lang w:val="uk-UA" w:eastAsia="ru-RU"/>
        </w:rPr>
      </w:pPr>
      <w:r w:rsidRPr="009F4326">
        <w:rPr>
          <w:rFonts w:ascii="Helvetica" w:eastAsia="Times New Roman" w:hAnsi="Helvetica" w:cs="Helvetica"/>
          <w:b/>
          <w:bCs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D84261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uk-UA" w:eastAsia="ru-RU"/>
        </w:r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AD1352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sectPr w:rsidR="00AD13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E708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7E7089" w:rsidRPr="007E7089" w:rsidRDefault="00034D1D" w:rsidP="00034D1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34D1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lastRenderedPageBreak/>
        <w:t>ЗАХОДИ ПРОГРАМИ</w:t>
      </w:r>
      <w:r w:rsidRPr="009F43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ЗАЙНЯТОСТІ НАСЕЛЕННЯ </w:t>
      </w:r>
      <w:r w:rsidRPr="009F43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СЕРГІЇВСЬКОЇ ОТГ </w:t>
      </w:r>
      <w:r w:rsidRPr="009F4326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</w:t>
      </w:r>
      <w:r w:rsidR="00E555A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20</w:t>
      </w:r>
      <w:r w:rsidRPr="009F4326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РІК</w:t>
      </w:r>
    </w:p>
    <w:tbl>
      <w:tblPr>
        <w:tblW w:w="150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1"/>
        <w:gridCol w:w="2977"/>
        <w:gridCol w:w="2693"/>
      </w:tblGrid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 xml:space="preserve">Зміст </w:t>
            </w:r>
            <w:r w:rsidRPr="00034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4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Термін виконання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Сума витрат, тис. грн.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 Реалізувати комплекс заходів, спрямованих на підвищення економічної мотивації суб’єктів господарювання до створення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робочих місць, удосконалення системи відтворення робочої сили одночасно із збільшенням числа робочих місць.</w:t>
            </w:r>
          </w:p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Спрямувати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організаційну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роботу на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впровадження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інвестиційних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сприятливого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інвестицій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клімату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збереження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іоритетним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формуванням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ринку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прикладання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метою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сприяння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зайнятості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цільових</w:t>
            </w:r>
            <w:proofErr w:type="spellEnd"/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інфраструктурних</w:t>
            </w:r>
            <w:proofErr w:type="spellEnd"/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ктів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забезпечувати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постійне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інформування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зайнятості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працевлаштування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безробітних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моніторинг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працевлаштування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безробітнихпід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реалізації</w:t>
            </w:r>
            <w:proofErr w:type="spellEnd"/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таких про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ктів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CE3222" w:rsidRDefault="00CE3222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заходів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метою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заохочення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суб’єктів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ідприємницької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діяльності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створення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робочих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місць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 тому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числі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можливість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отримання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фінансової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підтримки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CE3222" w:rsidRDefault="00CE3222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семінарів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безробітних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орієнтації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ідприємницьку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діяльність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залученням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соціальних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партнерів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підприємницьких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CE3222" w:rsidRDefault="00CE3222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тимчасову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зайнятість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шляхом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організації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громадських</w:t>
            </w:r>
            <w:proofErr w:type="spellEnd"/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тимчасового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характеру.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CE3222" w:rsidRDefault="00E555A6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73,848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захист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найманих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державного</w:t>
            </w:r>
            <w:proofErr w:type="gram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контролю за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додержанням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суб’єктами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господарювання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фізичними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особами-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підприємцями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542278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542278" w:rsidRDefault="00542278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8.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за станом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дотриманням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ідприємствах-боржниках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виплати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заробітної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плати та за станом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розміру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мінімальної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заробітної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плати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інших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 і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гарантій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оплаті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542278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542278" w:rsidRDefault="00542278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постійний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 за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дотриманням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суб’єктами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господарювання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фізичними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особами-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підприємцями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частині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відносин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легалізації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оплати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542278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542278" w:rsidRDefault="00542278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10.</w:t>
            </w:r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засобах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масової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роз’яснювальної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спрямованої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легал</w:t>
            </w:r>
            <w:proofErr w:type="gram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ізацію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заробітної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плати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зайнятості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542278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542278" w:rsidRDefault="00542278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11.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широку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інформаційно-роз’яснюва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льну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роботу з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громадянами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щодо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змін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чинного</w:t>
            </w:r>
            <w:proofErr w:type="gram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законодавства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засобах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масової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на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Інтернет-порталі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обласного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центру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зайнятості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542278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542278" w:rsidRDefault="00542278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12.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аналіз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ситуації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ринку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шляхом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вимог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роботодавців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івня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кваліфікації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працівників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видів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виконуваних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робіт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визначення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напрямів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професійного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навчання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безробітних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542278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542278" w:rsidRDefault="00542278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  <w:tr w:rsidR="00034D1D" w:rsidRPr="00034D1D" w:rsidTr="00034D1D">
        <w:tc>
          <w:tcPr>
            <w:tcW w:w="9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13.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Забезпечити</w:t>
            </w:r>
            <w:proofErr w:type="spellEnd"/>
          </w:p>
          <w:p w:rsidR="00034D1D" w:rsidRPr="00034D1D" w:rsidRDefault="003223D0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34D1D"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алучення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34D1D"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34D1D"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загальноосвітніх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34D1D"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034D1D"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="00034D1D"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="00034D1D"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участі</w:t>
            </w:r>
            <w:proofErr w:type="spellEnd"/>
            <w:r w:rsidR="00034D1D"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034D1D"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профорієнтаційних</w:t>
            </w:r>
            <w:proofErr w:type="spellEnd"/>
            <w:r w:rsidR="00034D1D"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заходах:</w:t>
            </w:r>
          </w:p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ярмарках</w:t>
            </w:r>
            <w:proofErr w:type="gramEnd"/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ярмарках (днях) </w:t>
            </w:r>
            <w:proofErr w:type="spellStart"/>
            <w:proofErr w:type="gram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кар’єри</w:t>
            </w:r>
            <w:proofErr w:type="spellEnd"/>
            <w:proofErr w:type="gram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презентаціях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професій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презентацій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роботодавця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презентаціях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навчальних</w:t>
            </w:r>
            <w:proofErr w:type="spellEnd"/>
            <w:r w:rsidR="003223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закладів</w:t>
            </w:r>
            <w:proofErr w:type="spellEnd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34D1D" w:rsidRPr="00034D1D" w:rsidRDefault="00034D1D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профорієнтаційних</w:t>
            </w:r>
            <w:proofErr w:type="spellEnd"/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зустрічах</w:t>
            </w:r>
            <w:proofErr w:type="spellEnd"/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034D1D" w:rsidRDefault="00542278" w:rsidP="00E55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="00E555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34D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4D1D" w:rsidRPr="00542278" w:rsidRDefault="00542278" w:rsidP="00CE3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:rsidR="007E7089" w:rsidRPr="007E7089" w:rsidRDefault="007E7089" w:rsidP="007E708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</w:t>
      </w:r>
    </w:p>
    <w:p w:rsidR="00A657D6" w:rsidRDefault="007E7089" w:rsidP="00930947">
      <w:pPr>
        <w:shd w:val="clear" w:color="auto" w:fill="FFFFFF"/>
        <w:spacing w:after="135" w:line="240" w:lineRule="auto"/>
      </w:pPr>
      <w:r w:rsidRPr="007E708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</w:t>
      </w:r>
    </w:p>
    <w:sectPr w:rsidR="00A657D6" w:rsidSect="00AD13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1A4AF4"/>
    <w:lvl w:ilvl="0">
      <w:numFmt w:val="bullet"/>
      <w:lvlText w:val="*"/>
      <w:lvlJc w:val="left"/>
    </w:lvl>
  </w:abstractNum>
  <w:abstractNum w:abstractNumId="1">
    <w:nsid w:val="00E91EBE"/>
    <w:multiLevelType w:val="multilevel"/>
    <w:tmpl w:val="15060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55950"/>
    <w:multiLevelType w:val="multilevel"/>
    <w:tmpl w:val="18B2C6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F3253"/>
    <w:multiLevelType w:val="multilevel"/>
    <w:tmpl w:val="00868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13368"/>
    <w:multiLevelType w:val="multilevel"/>
    <w:tmpl w:val="C4C2D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A61473"/>
    <w:multiLevelType w:val="multilevel"/>
    <w:tmpl w:val="81866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97C1A"/>
    <w:multiLevelType w:val="multilevel"/>
    <w:tmpl w:val="AD1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BC2355"/>
    <w:multiLevelType w:val="multilevel"/>
    <w:tmpl w:val="60CE2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6A132E"/>
    <w:multiLevelType w:val="multilevel"/>
    <w:tmpl w:val="F07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D34A86"/>
    <w:multiLevelType w:val="multilevel"/>
    <w:tmpl w:val="739A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2F59FE"/>
    <w:multiLevelType w:val="multilevel"/>
    <w:tmpl w:val="4354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B2494"/>
    <w:multiLevelType w:val="multilevel"/>
    <w:tmpl w:val="19145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872EAA"/>
    <w:multiLevelType w:val="multilevel"/>
    <w:tmpl w:val="B1A46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707BE"/>
    <w:multiLevelType w:val="multilevel"/>
    <w:tmpl w:val="35DE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680652"/>
    <w:multiLevelType w:val="multilevel"/>
    <w:tmpl w:val="66C296B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A37112"/>
    <w:multiLevelType w:val="hybridMultilevel"/>
    <w:tmpl w:val="D374898A"/>
    <w:lvl w:ilvl="0" w:tplc="97F41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9D2EBF"/>
    <w:multiLevelType w:val="multilevel"/>
    <w:tmpl w:val="46D6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BF7EB1"/>
    <w:multiLevelType w:val="multilevel"/>
    <w:tmpl w:val="64B861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793FC7"/>
    <w:multiLevelType w:val="hybridMultilevel"/>
    <w:tmpl w:val="F17CE4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  <w:num w:numId="13">
    <w:abstractNumId w:val="4"/>
  </w:num>
  <w:num w:numId="14">
    <w:abstractNumId w:val="14"/>
  </w:num>
  <w:num w:numId="15">
    <w:abstractNumId w:val="17"/>
  </w:num>
  <w:num w:numId="16">
    <w:abstractNumId w:val="16"/>
  </w:num>
  <w:num w:numId="17">
    <w:abstractNumId w:val="18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A2"/>
    <w:rsid w:val="00034D1D"/>
    <w:rsid w:val="00286D28"/>
    <w:rsid w:val="003223D0"/>
    <w:rsid w:val="003F3EF8"/>
    <w:rsid w:val="004119A2"/>
    <w:rsid w:val="00502692"/>
    <w:rsid w:val="00541A3B"/>
    <w:rsid w:val="00542278"/>
    <w:rsid w:val="00551BA1"/>
    <w:rsid w:val="00667012"/>
    <w:rsid w:val="006A229A"/>
    <w:rsid w:val="007A72E1"/>
    <w:rsid w:val="007E7089"/>
    <w:rsid w:val="008C7714"/>
    <w:rsid w:val="008D29A7"/>
    <w:rsid w:val="00930947"/>
    <w:rsid w:val="009F4326"/>
    <w:rsid w:val="00A005CA"/>
    <w:rsid w:val="00A32486"/>
    <w:rsid w:val="00A33E3A"/>
    <w:rsid w:val="00A657D6"/>
    <w:rsid w:val="00A73353"/>
    <w:rsid w:val="00AD1352"/>
    <w:rsid w:val="00C32153"/>
    <w:rsid w:val="00C45228"/>
    <w:rsid w:val="00C77106"/>
    <w:rsid w:val="00CE3222"/>
    <w:rsid w:val="00CE57C5"/>
    <w:rsid w:val="00CF78E4"/>
    <w:rsid w:val="00D84261"/>
    <w:rsid w:val="00E11F32"/>
    <w:rsid w:val="00E55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7089"/>
  </w:style>
  <w:style w:type="paragraph" w:styleId="a3">
    <w:name w:val="Normal (Web)"/>
    <w:basedOn w:val="a"/>
    <w:uiPriority w:val="99"/>
    <w:unhideWhenUsed/>
    <w:rsid w:val="007E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089"/>
    <w:rPr>
      <w:b/>
      <w:bCs/>
    </w:rPr>
  </w:style>
  <w:style w:type="character" w:styleId="a5">
    <w:name w:val="Emphasis"/>
    <w:basedOn w:val="a0"/>
    <w:uiPriority w:val="20"/>
    <w:qFormat/>
    <w:rsid w:val="007E70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0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21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7089"/>
  </w:style>
  <w:style w:type="paragraph" w:styleId="a3">
    <w:name w:val="Normal (Web)"/>
    <w:basedOn w:val="a"/>
    <w:uiPriority w:val="99"/>
    <w:unhideWhenUsed/>
    <w:rsid w:val="007E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7089"/>
    <w:rPr>
      <w:b/>
      <w:bCs/>
    </w:rPr>
  </w:style>
  <w:style w:type="character" w:styleId="a5">
    <w:name w:val="Emphasis"/>
    <w:basedOn w:val="a0"/>
    <w:uiPriority w:val="20"/>
    <w:qFormat/>
    <w:rsid w:val="007E70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0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2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7309</Words>
  <Characters>4167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2020-02-18T13:12:00Z</dcterms:created>
  <dcterms:modified xsi:type="dcterms:W3CDTF">2020-02-18T13:12:00Z</dcterms:modified>
</cp:coreProperties>
</file>